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C4A5" w14:textId="77777777" w:rsidR="00EF639C" w:rsidRDefault="00EF639C" w:rsidP="00EF639C">
      <w:pPr>
        <w:pStyle w:val="Heading1"/>
      </w:pPr>
      <w:bookmarkStart w:id="0" w:name="_GoBack"/>
      <w:bookmarkEnd w:id="0"/>
      <w:r>
        <w:t>Learning Assessment Research Consortium (LARC)</w:t>
      </w:r>
    </w:p>
    <w:p w14:paraId="6D7DAE61" w14:textId="497A7058" w:rsidR="00EF639C" w:rsidRDefault="00EF639C" w:rsidP="00EF639C">
      <w:pPr>
        <w:pStyle w:val="Heading2"/>
      </w:pPr>
      <w:r>
        <w:t xml:space="preserve">Module: </w:t>
      </w:r>
      <w:r w:rsidR="00352FD8">
        <w:t xml:space="preserve">Gathering Data </w:t>
      </w:r>
    </w:p>
    <w:p w14:paraId="0997A12C" w14:textId="77777777" w:rsidR="00EF639C" w:rsidRDefault="00EF639C" w:rsidP="00EF639C">
      <w:pPr>
        <w:pStyle w:val="Normal1"/>
        <w:spacing w:after="0" w:line="240" w:lineRule="auto"/>
        <w:rPr>
          <w:b/>
          <w:color w:val="4F81BD"/>
          <w:sz w:val="20"/>
          <w:szCs w:val="20"/>
        </w:rPr>
      </w:pPr>
    </w:p>
    <w:tbl>
      <w:tblPr>
        <w:tblW w:w="135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5"/>
        <w:gridCol w:w="5829"/>
        <w:gridCol w:w="4719"/>
        <w:gridCol w:w="1256"/>
      </w:tblGrid>
      <w:tr w:rsidR="00EF639C" w14:paraId="447C6DC9" w14:textId="77777777" w:rsidTr="00673BD7">
        <w:trPr>
          <w:trHeight w:val="311"/>
          <w:tblHeader/>
        </w:trPr>
        <w:tc>
          <w:tcPr>
            <w:tcW w:w="1735" w:type="dxa"/>
            <w:shd w:val="clear" w:color="auto" w:fill="FFFF99"/>
          </w:tcPr>
          <w:p w14:paraId="190ED80C" w14:textId="77777777" w:rsidR="00EF639C" w:rsidRDefault="00EF639C" w:rsidP="00C2495A">
            <w:pPr>
              <w:pStyle w:val="Normal1"/>
              <w:spacing w:after="120"/>
              <w:rPr>
                <w:b/>
                <w:sz w:val="20"/>
                <w:szCs w:val="20"/>
              </w:rPr>
            </w:pPr>
            <w:r>
              <w:rPr>
                <w:b/>
                <w:sz w:val="20"/>
                <w:szCs w:val="20"/>
              </w:rPr>
              <w:t>Sub-Module</w:t>
            </w:r>
          </w:p>
        </w:tc>
        <w:tc>
          <w:tcPr>
            <w:tcW w:w="5829" w:type="dxa"/>
            <w:shd w:val="clear" w:color="auto" w:fill="FFFF99"/>
          </w:tcPr>
          <w:p w14:paraId="69830DA3" w14:textId="77777777" w:rsidR="00EF639C" w:rsidRDefault="00EF639C" w:rsidP="00C2495A">
            <w:pPr>
              <w:pStyle w:val="Normal1"/>
              <w:spacing w:after="0" w:line="240" w:lineRule="auto"/>
              <w:rPr>
                <w:b/>
                <w:sz w:val="20"/>
                <w:szCs w:val="20"/>
              </w:rPr>
            </w:pPr>
            <w:r>
              <w:rPr>
                <w:b/>
                <w:sz w:val="20"/>
                <w:szCs w:val="20"/>
              </w:rPr>
              <w:t>Online Delivery - Details/Notes</w:t>
            </w:r>
          </w:p>
        </w:tc>
        <w:tc>
          <w:tcPr>
            <w:tcW w:w="4719" w:type="dxa"/>
            <w:shd w:val="clear" w:color="auto" w:fill="FFFF99"/>
          </w:tcPr>
          <w:p w14:paraId="63AF18C7" w14:textId="77777777" w:rsidR="00EF639C" w:rsidRDefault="00EF639C" w:rsidP="00C2495A">
            <w:pPr>
              <w:pStyle w:val="Normal1"/>
              <w:spacing w:after="0" w:line="240" w:lineRule="auto"/>
              <w:ind w:left="324"/>
              <w:rPr>
                <w:b/>
                <w:sz w:val="20"/>
                <w:szCs w:val="20"/>
              </w:rPr>
            </w:pPr>
            <w:r>
              <w:rPr>
                <w:b/>
                <w:sz w:val="20"/>
                <w:szCs w:val="20"/>
              </w:rPr>
              <w:t>Face-to-Face Delivery – Details/Notes</w:t>
            </w:r>
          </w:p>
        </w:tc>
        <w:tc>
          <w:tcPr>
            <w:tcW w:w="1256" w:type="dxa"/>
            <w:shd w:val="clear" w:color="auto" w:fill="FFFF99"/>
          </w:tcPr>
          <w:p w14:paraId="4F568014" w14:textId="77777777" w:rsidR="00EF639C" w:rsidRDefault="00EF639C" w:rsidP="00C2495A">
            <w:pPr>
              <w:pStyle w:val="Normal1"/>
              <w:spacing w:after="0" w:line="240" w:lineRule="auto"/>
              <w:ind w:left="72"/>
              <w:rPr>
                <w:b/>
                <w:sz w:val="20"/>
                <w:szCs w:val="20"/>
              </w:rPr>
            </w:pPr>
            <w:r>
              <w:rPr>
                <w:b/>
                <w:sz w:val="20"/>
                <w:szCs w:val="20"/>
              </w:rPr>
              <w:t>Resources</w:t>
            </w:r>
          </w:p>
        </w:tc>
      </w:tr>
      <w:tr w:rsidR="00EF639C" w14:paraId="34C6CC52" w14:textId="77777777" w:rsidTr="00ED351E">
        <w:trPr>
          <w:trHeight w:val="311"/>
        </w:trPr>
        <w:tc>
          <w:tcPr>
            <w:tcW w:w="1735" w:type="dxa"/>
            <w:shd w:val="clear" w:color="auto" w:fill="FFFFFF"/>
          </w:tcPr>
          <w:p w14:paraId="748C8EC9" w14:textId="77777777" w:rsidR="00EF639C" w:rsidRDefault="00EF639C" w:rsidP="00C2495A">
            <w:pPr>
              <w:pStyle w:val="Normal1"/>
              <w:spacing w:after="120"/>
              <w:rPr>
                <w:sz w:val="20"/>
                <w:szCs w:val="20"/>
              </w:rPr>
            </w:pPr>
            <w:r>
              <w:rPr>
                <w:b/>
                <w:sz w:val="20"/>
                <w:szCs w:val="20"/>
              </w:rPr>
              <w:t xml:space="preserve">Introduction </w:t>
            </w:r>
          </w:p>
        </w:tc>
        <w:tc>
          <w:tcPr>
            <w:tcW w:w="5829" w:type="dxa"/>
            <w:tcBorders>
              <w:bottom w:val="single" w:sz="4" w:space="0" w:color="auto"/>
            </w:tcBorders>
            <w:shd w:val="clear" w:color="auto" w:fill="FFFFFF"/>
          </w:tcPr>
          <w:p w14:paraId="4F4E9BE5" w14:textId="77777777" w:rsidR="00EF639C" w:rsidRDefault="00EF639C" w:rsidP="00C2495A">
            <w:pPr>
              <w:pStyle w:val="Normal1"/>
              <w:spacing w:after="0" w:line="240" w:lineRule="auto"/>
              <w:rPr>
                <w:b/>
                <w:color w:val="4F81BD"/>
                <w:sz w:val="16"/>
                <w:szCs w:val="16"/>
              </w:rPr>
            </w:pPr>
          </w:p>
          <w:p w14:paraId="15BF892B" w14:textId="77777777" w:rsidR="00EF639C" w:rsidRDefault="00EF639C" w:rsidP="00C2495A">
            <w:pPr>
              <w:pStyle w:val="Normal1"/>
              <w:spacing w:after="0" w:line="240" w:lineRule="auto"/>
              <w:ind w:left="720"/>
              <w:rPr>
                <w:b/>
                <w:color w:val="4F81BD"/>
                <w:sz w:val="16"/>
                <w:szCs w:val="16"/>
              </w:rPr>
            </w:pPr>
          </w:p>
        </w:tc>
        <w:tc>
          <w:tcPr>
            <w:tcW w:w="4719" w:type="dxa"/>
          </w:tcPr>
          <w:p w14:paraId="6FFDFC74" w14:textId="77777777" w:rsidR="00EF639C" w:rsidRDefault="00EF639C" w:rsidP="00C2495A">
            <w:pPr>
              <w:pStyle w:val="Normal1"/>
              <w:spacing w:after="0" w:line="240" w:lineRule="auto"/>
              <w:rPr>
                <w:sz w:val="16"/>
                <w:szCs w:val="16"/>
              </w:rPr>
            </w:pPr>
          </w:p>
          <w:p w14:paraId="7DCAD311" w14:textId="392990F3" w:rsidR="00EF639C" w:rsidRDefault="00C2495A" w:rsidP="00C2495A">
            <w:pPr>
              <w:pStyle w:val="Normal1"/>
              <w:spacing w:after="0" w:line="240" w:lineRule="auto"/>
              <w:rPr>
                <w:sz w:val="16"/>
                <w:szCs w:val="16"/>
              </w:rPr>
            </w:pPr>
            <w:r>
              <w:rPr>
                <w:sz w:val="16"/>
                <w:szCs w:val="16"/>
              </w:rPr>
              <w:t xml:space="preserve">The introduction Video is a short, less than two-minute video that introduces what is covered in the module. </w:t>
            </w:r>
          </w:p>
        </w:tc>
        <w:tc>
          <w:tcPr>
            <w:tcW w:w="1256" w:type="dxa"/>
          </w:tcPr>
          <w:p w14:paraId="691026CA" w14:textId="77777777" w:rsidR="00EF639C" w:rsidRDefault="00EF639C" w:rsidP="00C2495A">
            <w:pPr>
              <w:pStyle w:val="Normal1"/>
              <w:spacing w:after="0" w:line="240" w:lineRule="auto"/>
              <w:rPr>
                <w:sz w:val="20"/>
                <w:szCs w:val="20"/>
              </w:rPr>
            </w:pPr>
            <w:r>
              <w:rPr>
                <w:sz w:val="20"/>
                <w:szCs w:val="20"/>
              </w:rPr>
              <w:t xml:space="preserve"> </w:t>
            </w:r>
          </w:p>
          <w:p w14:paraId="2BACF7B7" w14:textId="77777777" w:rsidR="00EF639C" w:rsidRDefault="00EF639C" w:rsidP="00C2495A">
            <w:pPr>
              <w:pStyle w:val="Normal1"/>
              <w:spacing w:after="0" w:line="240" w:lineRule="auto"/>
              <w:rPr>
                <w:sz w:val="20"/>
                <w:szCs w:val="20"/>
              </w:rPr>
            </w:pPr>
            <w:r>
              <w:rPr>
                <w:sz w:val="20"/>
                <w:szCs w:val="20"/>
              </w:rPr>
              <w:t>N/A</w:t>
            </w:r>
          </w:p>
          <w:p w14:paraId="25A7E346" w14:textId="77777777" w:rsidR="00EF639C" w:rsidRDefault="00EF639C" w:rsidP="00C2495A">
            <w:pPr>
              <w:pStyle w:val="Normal1"/>
              <w:spacing w:after="0" w:line="240" w:lineRule="auto"/>
              <w:rPr>
                <w:sz w:val="20"/>
                <w:szCs w:val="20"/>
              </w:rPr>
            </w:pPr>
            <w:r>
              <w:rPr>
                <w:sz w:val="20"/>
                <w:szCs w:val="20"/>
              </w:rPr>
              <w:t xml:space="preserve"> </w:t>
            </w:r>
          </w:p>
        </w:tc>
      </w:tr>
      <w:tr w:rsidR="00EF639C" w14:paraId="0092B8F9" w14:textId="77777777" w:rsidTr="00ED351E">
        <w:trPr>
          <w:trHeight w:val="1178"/>
        </w:trPr>
        <w:tc>
          <w:tcPr>
            <w:tcW w:w="1735" w:type="dxa"/>
            <w:tcBorders>
              <w:right w:val="single" w:sz="4" w:space="0" w:color="auto"/>
            </w:tcBorders>
            <w:shd w:val="clear" w:color="auto" w:fill="FFFFFF"/>
          </w:tcPr>
          <w:p w14:paraId="4999421A" w14:textId="77777777" w:rsidR="00EF639C" w:rsidRDefault="00EF639C" w:rsidP="00C2495A">
            <w:pPr>
              <w:pStyle w:val="Normal1"/>
              <w:spacing w:after="120"/>
              <w:rPr>
                <w:b/>
                <w:sz w:val="20"/>
                <w:szCs w:val="20"/>
              </w:rPr>
            </w:pPr>
            <w:r>
              <w:rPr>
                <w:b/>
                <w:sz w:val="20"/>
                <w:szCs w:val="20"/>
              </w:rPr>
              <w:br/>
            </w:r>
          </w:p>
        </w:tc>
        <w:tc>
          <w:tcPr>
            <w:tcW w:w="5829" w:type="dxa"/>
            <w:tcBorders>
              <w:top w:val="single" w:sz="4" w:space="0" w:color="auto"/>
              <w:left w:val="single" w:sz="4" w:space="0" w:color="auto"/>
              <w:bottom w:val="single" w:sz="4" w:space="0" w:color="auto"/>
              <w:right w:val="single" w:sz="4" w:space="0" w:color="auto"/>
            </w:tcBorders>
            <w:shd w:val="clear" w:color="auto" w:fill="FFFFFF"/>
          </w:tcPr>
          <w:p w14:paraId="1789B0E5" w14:textId="37F36E4D" w:rsidR="00EF639C" w:rsidRDefault="00C2495A" w:rsidP="00C2495A">
            <w:pPr>
              <w:pStyle w:val="Normal1"/>
              <w:spacing w:after="0" w:line="240" w:lineRule="auto"/>
              <w:rPr>
                <w:sz w:val="16"/>
                <w:szCs w:val="16"/>
              </w:rPr>
            </w:pPr>
            <w:r>
              <w:rPr>
                <w:b/>
                <w:sz w:val="16"/>
                <w:szCs w:val="16"/>
              </w:rPr>
              <w:t xml:space="preserve">Warm Up Activity: </w:t>
            </w:r>
            <w:r>
              <w:rPr>
                <w:sz w:val="16"/>
                <w:szCs w:val="16"/>
              </w:rPr>
              <w:t xml:space="preserve">What questions do you have about the assessment process? Take a couple of minutes and write down your thoughts. </w:t>
            </w:r>
          </w:p>
          <w:p w14:paraId="10DB55C5" w14:textId="77777777" w:rsidR="00C2495A" w:rsidRPr="00C2495A" w:rsidRDefault="00C2495A" w:rsidP="00C2495A">
            <w:pPr>
              <w:pStyle w:val="Normal1"/>
              <w:spacing w:after="0" w:line="240" w:lineRule="auto"/>
              <w:rPr>
                <w:sz w:val="16"/>
                <w:szCs w:val="16"/>
              </w:rPr>
            </w:pPr>
          </w:p>
          <w:p w14:paraId="028EB647" w14:textId="607031EE" w:rsidR="00C2495A" w:rsidRDefault="00C2495A" w:rsidP="00C2495A">
            <w:pPr>
              <w:pStyle w:val="Normal1"/>
              <w:spacing w:after="120"/>
              <w:rPr>
                <w:sz w:val="16"/>
                <w:szCs w:val="16"/>
              </w:rPr>
            </w:pPr>
            <w:r>
              <w:rPr>
                <w:b/>
                <w:sz w:val="16"/>
                <w:szCs w:val="16"/>
              </w:rPr>
              <w:t xml:space="preserve">Activity: Reflecting on Shared Experiences: </w:t>
            </w:r>
            <w:r>
              <w:rPr>
                <w:sz w:val="16"/>
                <w:szCs w:val="16"/>
              </w:rPr>
              <w:t xml:space="preserve"> Referring back to the video you just watched, please answer the five questions. </w:t>
            </w:r>
          </w:p>
          <w:p w14:paraId="4B524206" w14:textId="563D1FC5" w:rsidR="00C2495A" w:rsidRDefault="00C2495A" w:rsidP="00C2495A">
            <w:pPr>
              <w:pStyle w:val="Normal1"/>
              <w:spacing w:after="120"/>
              <w:rPr>
                <w:sz w:val="16"/>
                <w:szCs w:val="16"/>
              </w:rPr>
            </w:pPr>
            <w:r>
              <w:rPr>
                <w:b/>
                <w:sz w:val="16"/>
                <w:szCs w:val="16"/>
              </w:rPr>
              <w:t xml:space="preserve">Activity: Beginning to Develop an Assessment Plan: </w:t>
            </w:r>
            <w:r w:rsidR="009F51C3">
              <w:rPr>
                <w:sz w:val="16"/>
                <w:szCs w:val="16"/>
              </w:rPr>
              <w:t xml:space="preserve">Using the activity sheet, complete the table. Refer back to your last two activities to help guide you. </w:t>
            </w:r>
          </w:p>
          <w:p w14:paraId="6E7D48AC" w14:textId="1347A04A" w:rsidR="009F51C3" w:rsidRPr="009F51C3" w:rsidRDefault="009F51C3" w:rsidP="00C2495A">
            <w:pPr>
              <w:pStyle w:val="Normal1"/>
              <w:spacing w:after="120"/>
              <w:rPr>
                <w:sz w:val="16"/>
                <w:szCs w:val="16"/>
              </w:rPr>
            </w:pPr>
            <w:r>
              <w:rPr>
                <w:b/>
                <w:sz w:val="16"/>
                <w:szCs w:val="16"/>
              </w:rPr>
              <w:t>Final Reflection:</w:t>
            </w:r>
            <w:r>
              <w:rPr>
                <w:sz w:val="16"/>
                <w:szCs w:val="16"/>
              </w:rPr>
              <w:t xml:space="preserve"> Look back over the three activities, and answers the questions provided. </w:t>
            </w:r>
          </w:p>
          <w:p w14:paraId="185405AE" w14:textId="289FDBD9" w:rsidR="00C2495A" w:rsidRPr="00EF639C" w:rsidRDefault="00C2495A" w:rsidP="00EF639C">
            <w:pPr>
              <w:tabs>
                <w:tab w:val="left" w:pos="4420"/>
              </w:tabs>
            </w:pPr>
          </w:p>
        </w:tc>
        <w:tc>
          <w:tcPr>
            <w:tcW w:w="4719" w:type="dxa"/>
            <w:tcBorders>
              <w:left w:val="single" w:sz="4" w:space="0" w:color="auto"/>
            </w:tcBorders>
          </w:tcPr>
          <w:p w14:paraId="324BB9A1" w14:textId="77777777" w:rsidR="00EF639C" w:rsidRDefault="00EF639C" w:rsidP="00C2495A">
            <w:pPr>
              <w:pStyle w:val="Normal1"/>
              <w:spacing w:after="120"/>
              <w:rPr>
                <w:sz w:val="16"/>
                <w:szCs w:val="16"/>
              </w:rPr>
            </w:pPr>
            <w:r>
              <w:rPr>
                <w:sz w:val="16"/>
                <w:szCs w:val="16"/>
              </w:rPr>
              <w:t xml:space="preserve"> </w:t>
            </w:r>
            <w:r w:rsidR="00C2495A">
              <w:rPr>
                <w:b/>
                <w:sz w:val="16"/>
                <w:szCs w:val="16"/>
              </w:rPr>
              <w:t xml:space="preserve">Warm Up Activity: </w:t>
            </w:r>
            <w:r w:rsidR="00C2495A">
              <w:rPr>
                <w:sz w:val="16"/>
                <w:szCs w:val="16"/>
              </w:rPr>
              <w:t xml:space="preserve">The warm up asks the participants to think about what questions they have about the assessment process. </w:t>
            </w:r>
          </w:p>
          <w:p w14:paraId="3B70B097" w14:textId="77777777" w:rsidR="00C2495A" w:rsidRDefault="00C2495A" w:rsidP="00C2495A">
            <w:pPr>
              <w:pStyle w:val="Normal1"/>
              <w:spacing w:after="120"/>
              <w:rPr>
                <w:sz w:val="16"/>
                <w:szCs w:val="16"/>
              </w:rPr>
            </w:pPr>
            <w:r>
              <w:rPr>
                <w:b/>
                <w:sz w:val="16"/>
                <w:szCs w:val="16"/>
              </w:rPr>
              <w:t>Shared Experiences with Planning for Assessment Video:</w:t>
            </w:r>
            <w:r>
              <w:rPr>
                <w:sz w:val="16"/>
                <w:szCs w:val="16"/>
              </w:rPr>
              <w:t xml:space="preserve"> This video is approximately 20 minutes in length. The speakers talk about their experiences in planning for assessment. It is recommended that the video be watched in full to prepare them for the next activity.</w:t>
            </w:r>
          </w:p>
          <w:p w14:paraId="11F992CD" w14:textId="4BE9D941" w:rsidR="00C2495A" w:rsidRDefault="00C2495A" w:rsidP="00C2495A">
            <w:pPr>
              <w:pStyle w:val="Normal1"/>
              <w:spacing w:after="120"/>
              <w:rPr>
                <w:sz w:val="16"/>
                <w:szCs w:val="16"/>
              </w:rPr>
            </w:pPr>
            <w:r>
              <w:rPr>
                <w:b/>
                <w:sz w:val="16"/>
                <w:szCs w:val="16"/>
              </w:rPr>
              <w:t xml:space="preserve">Activity: Reflecting on Shared Experiences: </w:t>
            </w:r>
            <w:r>
              <w:rPr>
                <w:sz w:val="16"/>
                <w:szCs w:val="16"/>
              </w:rPr>
              <w:t xml:space="preserve"> There are five questions asked in this activity. Since the participants have been watching a video for the past twenty minutes, this is a good opportunity to have them work collaboratively in teams to answer the questions and then bring the group back to discuss. </w:t>
            </w:r>
          </w:p>
          <w:p w14:paraId="65407451" w14:textId="5E44878B" w:rsidR="00C2495A" w:rsidRDefault="00C2495A" w:rsidP="00C2495A">
            <w:pPr>
              <w:pStyle w:val="Normal1"/>
              <w:spacing w:after="120"/>
              <w:rPr>
                <w:sz w:val="16"/>
                <w:szCs w:val="16"/>
              </w:rPr>
            </w:pPr>
            <w:r>
              <w:rPr>
                <w:b/>
                <w:sz w:val="16"/>
                <w:szCs w:val="16"/>
              </w:rPr>
              <w:t xml:space="preserve">Activity: Beginning to Develop an Assessment Plan: </w:t>
            </w:r>
            <w:r>
              <w:rPr>
                <w:sz w:val="16"/>
                <w:szCs w:val="16"/>
              </w:rPr>
              <w:t xml:space="preserve">Have the activity worksheet available for the participants to use. This activity may take a bit longer to complete than many of the others, (~20 minutes), so plan accordingly. </w:t>
            </w:r>
          </w:p>
          <w:p w14:paraId="6A6A986F" w14:textId="58CBD5FB" w:rsidR="009F51C3" w:rsidRPr="00C2495A" w:rsidRDefault="009F51C3" w:rsidP="00C2495A">
            <w:pPr>
              <w:pStyle w:val="Normal1"/>
              <w:spacing w:after="120"/>
              <w:rPr>
                <w:sz w:val="16"/>
                <w:szCs w:val="16"/>
              </w:rPr>
            </w:pPr>
            <w:r>
              <w:rPr>
                <w:b/>
                <w:sz w:val="16"/>
                <w:szCs w:val="16"/>
              </w:rPr>
              <w:t xml:space="preserve">Final Reflection: </w:t>
            </w:r>
            <w:r>
              <w:rPr>
                <w:sz w:val="16"/>
                <w:szCs w:val="16"/>
              </w:rPr>
              <w:t>The participants can answer the first two questions on their own. Once completed, bring everyone back to the larger group and discuss both the 3</w:t>
            </w:r>
            <w:r w:rsidRPr="009F51C3">
              <w:rPr>
                <w:sz w:val="16"/>
                <w:szCs w:val="16"/>
                <w:vertAlign w:val="superscript"/>
              </w:rPr>
              <w:t>rd</w:t>
            </w:r>
            <w:r>
              <w:rPr>
                <w:sz w:val="16"/>
                <w:szCs w:val="16"/>
              </w:rPr>
              <w:t xml:space="preserve"> question, and if time allows, they could have an opportunity to discuss the other questions briefly. </w:t>
            </w:r>
          </w:p>
        </w:tc>
        <w:tc>
          <w:tcPr>
            <w:tcW w:w="1256" w:type="dxa"/>
          </w:tcPr>
          <w:p w14:paraId="1666CB52" w14:textId="10AC3FEF" w:rsidR="00EF639C" w:rsidRDefault="0019131D" w:rsidP="00C2495A">
            <w:pPr>
              <w:pStyle w:val="Normal1"/>
              <w:spacing w:after="120"/>
              <w:rPr>
                <w:sz w:val="16"/>
                <w:szCs w:val="16"/>
              </w:rPr>
            </w:pPr>
            <w:r>
              <w:rPr>
                <w:sz w:val="16"/>
                <w:szCs w:val="16"/>
              </w:rPr>
              <w:t xml:space="preserve">  (2)</w:t>
            </w:r>
          </w:p>
        </w:tc>
      </w:tr>
      <w:tr w:rsidR="00EF639C" w14:paraId="4AD5D61F" w14:textId="77777777" w:rsidTr="00ED351E">
        <w:trPr>
          <w:trHeight w:val="311"/>
        </w:trPr>
        <w:tc>
          <w:tcPr>
            <w:tcW w:w="1735" w:type="dxa"/>
            <w:shd w:val="clear" w:color="auto" w:fill="FFFFFF"/>
          </w:tcPr>
          <w:p w14:paraId="17CED411" w14:textId="53AF9246" w:rsidR="00EF639C" w:rsidRDefault="009F51C3" w:rsidP="00C2495A">
            <w:pPr>
              <w:pStyle w:val="Normal1"/>
              <w:spacing w:after="120"/>
              <w:rPr>
                <w:b/>
                <w:sz w:val="20"/>
                <w:szCs w:val="20"/>
              </w:rPr>
            </w:pPr>
            <w:r>
              <w:rPr>
                <w:b/>
                <w:sz w:val="20"/>
                <w:szCs w:val="20"/>
              </w:rPr>
              <w:t xml:space="preserve">What Factors Do I Need to Consider Before Deciding </w:t>
            </w:r>
            <w:r>
              <w:rPr>
                <w:b/>
                <w:sz w:val="20"/>
                <w:szCs w:val="20"/>
              </w:rPr>
              <w:lastRenderedPageBreak/>
              <w:t xml:space="preserve">What Data to Gather? </w:t>
            </w:r>
          </w:p>
        </w:tc>
        <w:tc>
          <w:tcPr>
            <w:tcW w:w="5829" w:type="dxa"/>
            <w:tcBorders>
              <w:top w:val="single" w:sz="4" w:space="0" w:color="auto"/>
            </w:tcBorders>
            <w:shd w:val="clear" w:color="auto" w:fill="FFFFFF"/>
          </w:tcPr>
          <w:p w14:paraId="76C9F68E" w14:textId="0632AC5E" w:rsidR="006347C9" w:rsidRDefault="009F51C3" w:rsidP="00C2495A">
            <w:pPr>
              <w:pStyle w:val="Normal1"/>
              <w:spacing w:after="0" w:line="240" w:lineRule="auto"/>
              <w:rPr>
                <w:sz w:val="16"/>
                <w:szCs w:val="16"/>
              </w:rPr>
            </w:pPr>
            <w:r>
              <w:rPr>
                <w:b/>
                <w:sz w:val="16"/>
                <w:szCs w:val="16"/>
              </w:rPr>
              <w:lastRenderedPageBreak/>
              <w:t>Warm Up Activity:</w:t>
            </w:r>
            <w:r>
              <w:rPr>
                <w:sz w:val="16"/>
                <w:szCs w:val="16"/>
              </w:rPr>
              <w:t xml:space="preserve"> Create a list of potential data you may want to collect. This is just a first draft, and changed may be needed later on.</w:t>
            </w:r>
          </w:p>
          <w:p w14:paraId="776FDB82" w14:textId="77777777" w:rsidR="006347C9" w:rsidRDefault="006347C9" w:rsidP="00C2495A">
            <w:pPr>
              <w:pStyle w:val="Normal1"/>
              <w:spacing w:after="0" w:line="240" w:lineRule="auto"/>
              <w:rPr>
                <w:sz w:val="16"/>
                <w:szCs w:val="16"/>
              </w:rPr>
            </w:pPr>
          </w:p>
          <w:p w14:paraId="2F804DB2" w14:textId="77777777" w:rsidR="00EF639C" w:rsidRDefault="006347C9" w:rsidP="00C2495A">
            <w:pPr>
              <w:pStyle w:val="Normal1"/>
              <w:spacing w:after="0" w:line="240" w:lineRule="auto"/>
              <w:rPr>
                <w:sz w:val="16"/>
                <w:szCs w:val="16"/>
              </w:rPr>
            </w:pPr>
            <w:r>
              <w:rPr>
                <w:b/>
                <w:sz w:val="16"/>
                <w:szCs w:val="16"/>
              </w:rPr>
              <w:t>Activity: Analyzing the Factors When Planning to Collect Data:</w:t>
            </w:r>
            <w:r>
              <w:rPr>
                <w:sz w:val="16"/>
                <w:szCs w:val="16"/>
              </w:rPr>
              <w:t xml:space="preserve"> Refer back to your </w:t>
            </w:r>
            <w:r>
              <w:rPr>
                <w:sz w:val="16"/>
                <w:szCs w:val="16"/>
              </w:rPr>
              <w:lastRenderedPageBreak/>
              <w:t xml:space="preserve">warm up activity, and complete the activity sheet for this section. This may be an opportunity for you to make changes or additions to your warm up activity as well. </w:t>
            </w:r>
          </w:p>
          <w:p w14:paraId="683167E6" w14:textId="77777777" w:rsidR="00C26F80" w:rsidRDefault="00C26F80" w:rsidP="00C2495A">
            <w:pPr>
              <w:pStyle w:val="Normal1"/>
              <w:spacing w:after="0" w:line="240" w:lineRule="auto"/>
              <w:rPr>
                <w:sz w:val="16"/>
                <w:szCs w:val="16"/>
              </w:rPr>
            </w:pPr>
          </w:p>
          <w:p w14:paraId="4A6BD246" w14:textId="3BC14CC8" w:rsidR="00C26F80" w:rsidRDefault="00C26F80" w:rsidP="00C26F80">
            <w:pPr>
              <w:pStyle w:val="Normal1"/>
              <w:spacing w:after="120"/>
              <w:rPr>
                <w:sz w:val="16"/>
                <w:szCs w:val="16"/>
              </w:rPr>
            </w:pPr>
            <w:r>
              <w:rPr>
                <w:b/>
                <w:sz w:val="16"/>
                <w:szCs w:val="16"/>
              </w:rPr>
              <w:t xml:space="preserve">Activity: Continuing to Build Your Assessment Plan: </w:t>
            </w:r>
            <w:r>
              <w:rPr>
                <w:sz w:val="16"/>
                <w:szCs w:val="16"/>
              </w:rPr>
              <w:t xml:space="preserve"> Using the assessment plan you created earlier, work to complete this worksheet. </w:t>
            </w:r>
          </w:p>
          <w:p w14:paraId="201843E1" w14:textId="77EA4E90" w:rsidR="00C26F80" w:rsidRPr="00C26F80" w:rsidRDefault="00C26F80" w:rsidP="00C26F80">
            <w:pPr>
              <w:pStyle w:val="Normal1"/>
              <w:spacing w:after="120"/>
              <w:rPr>
                <w:sz w:val="16"/>
                <w:szCs w:val="16"/>
              </w:rPr>
            </w:pPr>
            <w:r>
              <w:rPr>
                <w:b/>
                <w:sz w:val="16"/>
                <w:szCs w:val="16"/>
              </w:rPr>
              <w:t xml:space="preserve">Final Reflection: </w:t>
            </w:r>
            <w:r>
              <w:rPr>
                <w:sz w:val="16"/>
                <w:szCs w:val="16"/>
              </w:rPr>
              <w:t xml:space="preserve">Using the material you read and the worksheets completed in this sub module, answer the questions provided. </w:t>
            </w:r>
          </w:p>
          <w:p w14:paraId="74AA5F13" w14:textId="1F1310AB" w:rsidR="00C26F80" w:rsidRPr="009F51C3" w:rsidRDefault="00C26F80" w:rsidP="00C2495A">
            <w:pPr>
              <w:pStyle w:val="Normal1"/>
              <w:spacing w:after="0" w:line="240" w:lineRule="auto"/>
              <w:rPr>
                <w:sz w:val="16"/>
                <w:szCs w:val="16"/>
              </w:rPr>
            </w:pPr>
          </w:p>
        </w:tc>
        <w:tc>
          <w:tcPr>
            <w:tcW w:w="4719" w:type="dxa"/>
          </w:tcPr>
          <w:p w14:paraId="470E4B82" w14:textId="78C4C571" w:rsidR="00EF639C" w:rsidRDefault="009F51C3" w:rsidP="00C2495A">
            <w:pPr>
              <w:pStyle w:val="Normal1"/>
              <w:spacing w:after="120"/>
              <w:rPr>
                <w:sz w:val="16"/>
                <w:szCs w:val="16"/>
              </w:rPr>
            </w:pPr>
            <w:r>
              <w:rPr>
                <w:b/>
                <w:sz w:val="16"/>
                <w:szCs w:val="16"/>
              </w:rPr>
              <w:lastRenderedPageBreak/>
              <w:t xml:space="preserve">Warm Up Activity: </w:t>
            </w:r>
            <w:r>
              <w:rPr>
                <w:sz w:val="16"/>
                <w:szCs w:val="16"/>
              </w:rPr>
              <w:t xml:space="preserve">Allow the participants a period of time to think about the data they would want to gather, and then create a lit of this potential data. This is just a first draft, and they should be willing </w:t>
            </w:r>
            <w:r>
              <w:rPr>
                <w:sz w:val="16"/>
                <w:szCs w:val="16"/>
              </w:rPr>
              <w:lastRenderedPageBreak/>
              <w:t xml:space="preserve">to change or rework the list as they move through this sub module. </w:t>
            </w:r>
          </w:p>
          <w:p w14:paraId="230C68F0" w14:textId="0864E8D6" w:rsidR="009F51C3" w:rsidRDefault="006347C9" w:rsidP="00C2495A">
            <w:pPr>
              <w:pStyle w:val="Normal1"/>
              <w:spacing w:after="120"/>
              <w:rPr>
                <w:sz w:val="16"/>
                <w:szCs w:val="16"/>
              </w:rPr>
            </w:pPr>
            <w:r>
              <w:rPr>
                <w:b/>
                <w:sz w:val="16"/>
                <w:szCs w:val="16"/>
              </w:rPr>
              <w:t>Factors to Consider When Planning to Collect Data (1-3):</w:t>
            </w:r>
            <w:r>
              <w:rPr>
                <w:sz w:val="16"/>
                <w:szCs w:val="16"/>
              </w:rPr>
              <w:t xml:space="preserve"> This content area flows from </w:t>
            </w:r>
            <w:proofErr w:type="gramStart"/>
            <w:r>
              <w:rPr>
                <w:sz w:val="16"/>
                <w:szCs w:val="16"/>
              </w:rPr>
              <w:t>1-3, and</w:t>
            </w:r>
            <w:proofErr w:type="gramEnd"/>
            <w:r>
              <w:rPr>
                <w:sz w:val="16"/>
                <w:szCs w:val="16"/>
              </w:rPr>
              <w:t xml:space="preserve"> is broken down for ease of use. You may want to use visual aids or handouts for these three sections. </w:t>
            </w:r>
          </w:p>
          <w:p w14:paraId="224513F7" w14:textId="3A9158C7" w:rsidR="006347C9" w:rsidRDefault="006347C9" w:rsidP="00C2495A">
            <w:pPr>
              <w:pStyle w:val="Normal1"/>
              <w:spacing w:after="120"/>
              <w:rPr>
                <w:sz w:val="16"/>
                <w:szCs w:val="16"/>
              </w:rPr>
            </w:pPr>
            <w:r>
              <w:rPr>
                <w:b/>
                <w:sz w:val="16"/>
                <w:szCs w:val="16"/>
              </w:rPr>
              <w:t>Activity: Analyzing the Factors When Planning to Collect Data:</w:t>
            </w:r>
            <w:r>
              <w:rPr>
                <w:sz w:val="16"/>
                <w:szCs w:val="16"/>
              </w:rPr>
              <w:t xml:space="preserve"> Have the participants review their warm up activity. There is an activity sheet you may download and provide to them. </w:t>
            </w:r>
          </w:p>
          <w:p w14:paraId="023A02EC" w14:textId="614C8DB5" w:rsidR="0072136D" w:rsidRDefault="0072136D" w:rsidP="00C2495A">
            <w:pPr>
              <w:pStyle w:val="Normal1"/>
              <w:spacing w:after="120"/>
              <w:rPr>
                <w:sz w:val="16"/>
                <w:szCs w:val="16"/>
              </w:rPr>
            </w:pPr>
            <w:r>
              <w:rPr>
                <w:b/>
                <w:sz w:val="16"/>
                <w:szCs w:val="16"/>
              </w:rPr>
              <w:t>An Analysis and Inventory of the Different Kinds of Data Sources (1-3):</w:t>
            </w:r>
            <w:r>
              <w:rPr>
                <w:sz w:val="16"/>
                <w:szCs w:val="16"/>
              </w:rPr>
              <w:t xml:space="preserve"> As with the Factors to Consider piece earlier, these three sections flow together. There are tables in these sections that by themselves would make for good handouts for the participants to use. </w:t>
            </w:r>
          </w:p>
          <w:p w14:paraId="50E54DA4" w14:textId="60558CE7" w:rsidR="0072136D" w:rsidRDefault="0072136D" w:rsidP="00C2495A">
            <w:pPr>
              <w:pStyle w:val="Normal1"/>
              <w:spacing w:after="120"/>
              <w:rPr>
                <w:sz w:val="16"/>
                <w:szCs w:val="16"/>
              </w:rPr>
            </w:pPr>
            <w:r>
              <w:rPr>
                <w:b/>
                <w:sz w:val="16"/>
                <w:szCs w:val="16"/>
              </w:rPr>
              <w:t xml:space="preserve">Activity: Continuing to Build Your Assessment Plan: </w:t>
            </w:r>
            <w:r>
              <w:rPr>
                <w:sz w:val="16"/>
                <w:szCs w:val="16"/>
              </w:rPr>
              <w:t xml:space="preserve"> </w:t>
            </w:r>
            <w:r w:rsidR="00C26F80">
              <w:rPr>
                <w:sz w:val="16"/>
                <w:szCs w:val="16"/>
              </w:rPr>
              <w:t xml:space="preserve">Using the assessment plan they created earlier, and have the participants work to complete this worksheet. </w:t>
            </w:r>
          </w:p>
          <w:p w14:paraId="3C46F029" w14:textId="72D4ED36" w:rsidR="00EF639C" w:rsidRDefault="00C26F80" w:rsidP="00C2495A">
            <w:pPr>
              <w:pStyle w:val="Normal1"/>
              <w:spacing w:after="120"/>
              <w:rPr>
                <w:sz w:val="16"/>
                <w:szCs w:val="16"/>
              </w:rPr>
            </w:pPr>
            <w:r>
              <w:rPr>
                <w:b/>
                <w:sz w:val="16"/>
                <w:szCs w:val="16"/>
              </w:rPr>
              <w:t xml:space="preserve">Final Reflection: </w:t>
            </w:r>
            <w:r>
              <w:rPr>
                <w:sz w:val="16"/>
                <w:szCs w:val="16"/>
              </w:rPr>
              <w:t xml:space="preserve"> This sub module has been a lot of lecture and individual work, this reflection allows for working with a partner or small team to complete the questions. </w:t>
            </w:r>
          </w:p>
        </w:tc>
        <w:tc>
          <w:tcPr>
            <w:tcW w:w="1256" w:type="dxa"/>
          </w:tcPr>
          <w:p w14:paraId="08782D9D" w14:textId="77777777" w:rsidR="00EF639C" w:rsidRDefault="0019131D" w:rsidP="00EF639C">
            <w:pPr>
              <w:pStyle w:val="Normal1"/>
              <w:spacing w:after="120"/>
              <w:rPr>
                <w:sz w:val="16"/>
                <w:szCs w:val="16"/>
              </w:rPr>
            </w:pPr>
            <w:r>
              <w:rPr>
                <w:sz w:val="16"/>
                <w:szCs w:val="16"/>
              </w:rPr>
              <w:lastRenderedPageBreak/>
              <w:t xml:space="preserve">   (1)</w:t>
            </w:r>
          </w:p>
          <w:p w14:paraId="3B1D6C3F" w14:textId="76C8CE1D" w:rsidR="0019131D" w:rsidRPr="0019131D" w:rsidRDefault="0019131D" w:rsidP="00EF639C">
            <w:pPr>
              <w:pStyle w:val="Normal1"/>
              <w:spacing w:after="120"/>
              <w:rPr>
                <w:sz w:val="16"/>
                <w:szCs w:val="16"/>
              </w:rPr>
            </w:pPr>
            <w:r>
              <w:rPr>
                <w:sz w:val="16"/>
                <w:szCs w:val="16"/>
              </w:rPr>
              <w:t xml:space="preserve">   (3)</w:t>
            </w:r>
          </w:p>
          <w:p w14:paraId="057A95EA" w14:textId="77777777" w:rsidR="00EF639C" w:rsidRDefault="00EF639C" w:rsidP="00C2495A">
            <w:pPr>
              <w:pStyle w:val="Normal1"/>
              <w:spacing w:after="120"/>
              <w:rPr>
                <w:i/>
                <w:sz w:val="16"/>
                <w:szCs w:val="16"/>
              </w:rPr>
            </w:pPr>
            <w:r>
              <w:rPr>
                <w:i/>
                <w:sz w:val="16"/>
                <w:szCs w:val="16"/>
              </w:rPr>
              <w:lastRenderedPageBreak/>
              <w:t xml:space="preserve"> </w:t>
            </w:r>
          </w:p>
        </w:tc>
      </w:tr>
      <w:tr w:rsidR="00EF639C" w14:paraId="496CE803" w14:textId="77777777" w:rsidTr="00ED351E">
        <w:trPr>
          <w:trHeight w:val="1034"/>
        </w:trPr>
        <w:tc>
          <w:tcPr>
            <w:tcW w:w="1735" w:type="dxa"/>
            <w:shd w:val="clear" w:color="auto" w:fill="FFFFFF"/>
          </w:tcPr>
          <w:p w14:paraId="0884523C" w14:textId="72CE7E1B" w:rsidR="00EF639C" w:rsidRDefault="005C5D36" w:rsidP="00C2495A">
            <w:pPr>
              <w:pStyle w:val="Normal1"/>
              <w:spacing w:after="120"/>
              <w:rPr>
                <w:b/>
                <w:sz w:val="20"/>
                <w:szCs w:val="20"/>
              </w:rPr>
            </w:pPr>
            <w:r>
              <w:rPr>
                <w:b/>
                <w:sz w:val="20"/>
                <w:szCs w:val="20"/>
              </w:rPr>
              <w:lastRenderedPageBreak/>
              <w:t xml:space="preserve">What are the Best Practices for Gathering Data? </w:t>
            </w:r>
          </w:p>
        </w:tc>
        <w:tc>
          <w:tcPr>
            <w:tcW w:w="5829" w:type="dxa"/>
            <w:shd w:val="clear" w:color="auto" w:fill="FFFFFF"/>
          </w:tcPr>
          <w:p w14:paraId="1F0196AD" w14:textId="77777777" w:rsidR="00EF639C" w:rsidRDefault="00FB4651" w:rsidP="00EF639C">
            <w:pPr>
              <w:pStyle w:val="Normal1"/>
              <w:spacing w:after="0" w:line="240" w:lineRule="auto"/>
              <w:rPr>
                <w:color w:val="auto"/>
                <w:sz w:val="16"/>
                <w:szCs w:val="16"/>
              </w:rPr>
            </w:pPr>
            <w:r>
              <w:rPr>
                <w:b/>
                <w:color w:val="auto"/>
                <w:sz w:val="16"/>
                <w:szCs w:val="16"/>
              </w:rPr>
              <w:t xml:space="preserve">Warm Up Activity: </w:t>
            </w:r>
            <w:r>
              <w:rPr>
                <w:color w:val="auto"/>
                <w:sz w:val="16"/>
                <w:szCs w:val="16"/>
              </w:rPr>
              <w:t xml:space="preserve">What do you know about the methods of gathering data? Take a few minutes and write down the different methods you can think of at this point. </w:t>
            </w:r>
          </w:p>
          <w:p w14:paraId="1AFE2FC9" w14:textId="77777777" w:rsidR="00B70233" w:rsidRDefault="00B70233" w:rsidP="00EF639C">
            <w:pPr>
              <w:pStyle w:val="Normal1"/>
              <w:spacing w:after="0" w:line="240" w:lineRule="auto"/>
              <w:rPr>
                <w:color w:val="auto"/>
                <w:sz w:val="16"/>
                <w:szCs w:val="16"/>
              </w:rPr>
            </w:pPr>
          </w:p>
          <w:p w14:paraId="6301A2B9" w14:textId="77777777" w:rsidR="00B70233" w:rsidRDefault="00B70233" w:rsidP="00EF639C">
            <w:pPr>
              <w:pStyle w:val="Normal1"/>
              <w:spacing w:after="0" w:line="240" w:lineRule="auto"/>
              <w:rPr>
                <w:sz w:val="16"/>
                <w:szCs w:val="16"/>
              </w:rPr>
            </w:pPr>
            <w:r>
              <w:rPr>
                <w:b/>
                <w:sz w:val="16"/>
                <w:szCs w:val="16"/>
              </w:rPr>
              <w:t xml:space="preserve">Activity: Reflecting on Shared Experiences: </w:t>
            </w:r>
            <w:r>
              <w:rPr>
                <w:sz w:val="16"/>
                <w:szCs w:val="16"/>
              </w:rPr>
              <w:t xml:space="preserve">Talking watching the video, write reflective responses to the questions asked. </w:t>
            </w:r>
          </w:p>
          <w:p w14:paraId="50CC7B48" w14:textId="77777777" w:rsidR="00B70233" w:rsidRDefault="00B70233" w:rsidP="00EF639C">
            <w:pPr>
              <w:pStyle w:val="Normal1"/>
              <w:spacing w:after="0" w:line="240" w:lineRule="auto"/>
              <w:rPr>
                <w:sz w:val="16"/>
                <w:szCs w:val="16"/>
              </w:rPr>
            </w:pPr>
          </w:p>
          <w:p w14:paraId="57537BA5" w14:textId="30BF6157" w:rsidR="00B70233" w:rsidRPr="00B70233" w:rsidRDefault="00B70233" w:rsidP="00EF639C">
            <w:pPr>
              <w:pStyle w:val="Normal1"/>
              <w:spacing w:after="0" w:line="240" w:lineRule="auto"/>
              <w:rPr>
                <w:color w:val="auto"/>
                <w:sz w:val="16"/>
                <w:szCs w:val="16"/>
              </w:rPr>
            </w:pPr>
            <w:r>
              <w:rPr>
                <w:b/>
                <w:sz w:val="16"/>
                <w:szCs w:val="16"/>
              </w:rPr>
              <w:t xml:space="preserve">Final Reflection: </w:t>
            </w:r>
            <w:r>
              <w:rPr>
                <w:sz w:val="16"/>
                <w:szCs w:val="16"/>
              </w:rPr>
              <w:t xml:space="preserve">Thinking about what you have learned in this sub module, and referring the worksheets and reflective responses you have completed, answer the questions provided. </w:t>
            </w:r>
          </w:p>
        </w:tc>
        <w:tc>
          <w:tcPr>
            <w:tcW w:w="4719" w:type="dxa"/>
          </w:tcPr>
          <w:p w14:paraId="38BB5D75" w14:textId="3A2FA0DF" w:rsidR="00EF639C" w:rsidRPr="00FB4651" w:rsidRDefault="005C5D36" w:rsidP="00C2495A">
            <w:pPr>
              <w:pStyle w:val="Normal1"/>
              <w:spacing w:after="0" w:line="240" w:lineRule="auto"/>
              <w:rPr>
                <w:sz w:val="16"/>
                <w:szCs w:val="16"/>
              </w:rPr>
            </w:pPr>
            <w:r>
              <w:rPr>
                <w:b/>
                <w:sz w:val="16"/>
                <w:szCs w:val="16"/>
              </w:rPr>
              <w:t xml:space="preserve">Warm Up Activity: </w:t>
            </w:r>
            <w:r w:rsidR="00FB4651">
              <w:rPr>
                <w:sz w:val="16"/>
                <w:szCs w:val="16"/>
              </w:rPr>
              <w:t xml:space="preserve">Moving into this sub module can be a seamless transition. Once the final reflection for the last sub module is completed, keep the participants in their pairs or small groups and have them answer the question collaboratively. </w:t>
            </w:r>
          </w:p>
          <w:p w14:paraId="06FD164B" w14:textId="77777777" w:rsidR="00EF639C" w:rsidRDefault="00EF639C" w:rsidP="00C2495A">
            <w:pPr>
              <w:pStyle w:val="Normal1"/>
              <w:spacing w:after="0" w:line="240" w:lineRule="auto"/>
              <w:rPr>
                <w:sz w:val="16"/>
                <w:szCs w:val="16"/>
              </w:rPr>
            </w:pPr>
          </w:p>
          <w:p w14:paraId="0E47CE3B" w14:textId="04347CC2" w:rsidR="00FB4651" w:rsidRDefault="00FB4651" w:rsidP="00C2495A">
            <w:pPr>
              <w:pStyle w:val="Normal1"/>
              <w:spacing w:after="0" w:line="240" w:lineRule="auto"/>
              <w:rPr>
                <w:sz w:val="16"/>
                <w:szCs w:val="16"/>
              </w:rPr>
            </w:pPr>
            <w:r>
              <w:rPr>
                <w:b/>
                <w:sz w:val="16"/>
                <w:szCs w:val="16"/>
              </w:rPr>
              <w:t>Methods and Approaches for Gathering Data (Video):</w:t>
            </w:r>
            <w:r>
              <w:rPr>
                <w:sz w:val="16"/>
                <w:szCs w:val="16"/>
              </w:rPr>
              <w:t xml:space="preserve"> This video is twenty minutes in length. </w:t>
            </w:r>
            <w:r w:rsidR="00A23FA1">
              <w:rPr>
                <w:sz w:val="16"/>
                <w:szCs w:val="16"/>
              </w:rPr>
              <w:t xml:space="preserve">It talks about experiences different faculty members or administrators have had when gathering data. As the participants have been working in groups for the last couple of sections, watching this video in full is a good way to bring them back and let them watch together. </w:t>
            </w:r>
          </w:p>
          <w:p w14:paraId="4348175E" w14:textId="77777777" w:rsidR="00A23FA1" w:rsidRDefault="00A23FA1" w:rsidP="00C2495A">
            <w:pPr>
              <w:pStyle w:val="Normal1"/>
              <w:spacing w:after="0" w:line="240" w:lineRule="auto"/>
              <w:rPr>
                <w:sz w:val="16"/>
                <w:szCs w:val="16"/>
              </w:rPr>
            </w:pPr>
          </w:p>
          <w:p w14:paraId="2724D371" w14:textId="24EC18A0" w:rsidR="00A23FA1" w:rsidRDefault="00A23FA1" w:rsidP="00C2495A">
            <w:pPr>
              <w:pStyle w:val="Normal1"/>
              <w:spacing w:after="0" w:line="240" w:lineRule="auto"/>
              <w:rPr>
                <w:sz w:val="16"/>
                <w:szCs w:val="16"/>
              </w:rPr>
            </w:pPr>
            <w:r>
              <w:rPr>
                <w:b/>
                <w:sz w:val="16"/>
                <w:szCs w:val="16"/>
              </w:rPr>
              <w:t xml:space="preserve">Activity: Reflecting on Shared Experiences: </w:t>
            </w:r>
            <w:r w:rsidR="00B70233">
              <w:rPr>
                <w:sz w:val="16"/>
                <w:szCs w:val="16"/>
              </w:rPr>
              <w:t xml:space="preserve">You can facilitate a class wide discussion on the questions asked here. </w:t>
            </w:r>
          </w:p>
          <w:p w14:paraId="41E8AA4C" w14:textId="77777777" w:rsidR="00B70233" w:rsidRDefault="00B70233" w:rsidP="00C2495A">
            <w:pPr>
              <w:pStyle w:val="Normal1"/>
              <w:spacing w:after="0" w:line="240" w:lineRule="auto"/>
              <w:rPr>
                <w:sz w:val="16"/>
                <w:szCs w:val="16"/>
              </w:rPr>
            </w:pPr>
          </w:p>
          <w:p w14:paraId="172244EB" w14:textId="0A90319C" w:rsidR="00EF639C" w:rsidRDefault="00B70233" w:rsidP="00C2495A">
            <w:pPr>
              <w:pStyle w:val="Normal1"/>
              <w:spacing w:after="0" w:line="240" w:lineRule="auto"/>
              <w:rPr>
                <w:sz w:val="16"/>
                <w:szCs w:val="16"/>
              </w:rPr>
            </w:pPr>
            <w:r>
              <w:rPr>
                <w:b/>
                <w:sz w:val="16"/>
                <w:szCs w:val="16"/>
              </w:rPr>
              <w:t xml:space="preserve">Final Reflection: </w:t>
            </w:r>
            <w:r>
              <w:rPr>
                <w:sz w:val="16"/>
                <w:szCs w:val="16"/>
              </w:rPr>
              <w:t>Have the participants answer the first two questions, and then discuss the 3</w:t>
            </w:r>
            <w:r w:rsidRPr="00B70233">
              <w:rPr>
                <w:sz w:val="16"/>
                <w:szCs w:val="16"/>
                <w:vertAlign w:val="superscript"/>
              </w:rPr>
              <w:t>rd</w:t>
            </w:r>
            <w:r>
              <w:rPr>
                <w:sz w:val="16"/>
                <w:szCs w:val="16"/>
              </w:rPr>
              <w:t xml:space="preserve"> questions as a large group. </w:t>
            </w:r>
          </w:p>
        </w:tc>
        <w:tc>
          <w:tcPr>
            <w:tcW w:w="1256" w:type="dxa"/>
          </w:tcPr>
          <w:p w14:paraId="10981591" w14:textId="77777777" w:rsidR="00EF639C" w:rsidRDefault="0019131D" w:rsidP="00C2495A">
            <w:pPr>
              <w:pStyle w:val="Normal1"/>
              <w:spacing w:after="0" w:line="240" w:lineRule="auto"/>
              <w:ind w:left="360"/>
              <w:rPr>
                <w:sz w:val="16"/>
                <w:szCs w:val="16"/>
              </w:rPr>
            </w:pPr>
            <w:r>
              <w:rPr>
                <w:sz w:val="16"/>
                <w:szCs w:val="16"/>
              </w:rPr>
              <w:t>(1)</w:t>
            </w:r>
          </w:p>
          <w:p w14:paraId="0B6DACE1" w14:textId="77777777" w:rsidR="0019131D" w:rsidRDefault="0019131D" w:rsidP="00C2495A">
            <w:pPr>
              <w:pStyle w:val="Normal1"/>
              <w:spacing w:after="0" w:line="240" w:lineRule="auto"/>
              <w:ind w:left="360"/>
              <w:rPr>
                <w:sz w:val="16"/>
                <w:szCs w:val="16"/>
              </w:rPr>
            </w:pPr>
          </w:p>
          <w:p w14:paraId="18BA982E" w14:textId="098DF30E" w:rsidR="0019131D" w:rsidRDefault="0019131D" w:rsidP="00C2495A">
            <w:pPr>
              <w:pStyle w:val="Normal1"/>
              <w:spacing w:after="0" w:line="240" w:lineRule="auto"/>
              <w:ind w:left="360"/>
              <w:rPr>
                <w:sz w:val="16"/>
                <w:szCs w:val="16"/>
              </w:rPr>
            </w:pPr>
            <w:r>
              <w:rPr>
                <w:sz w:val="16"/>
                <w:szCs w:val="16"/>
              </w:rPr>
              <w:t>(3)</w:t>
            </w:r>
          </w:p>
        </w:tc>
      </w:tr>
      <w:tr w:rsidR="00EF639C" w14:paraId="67721665" w14:textId="77777777" w:rsidTr="00ED351E">
        <w:trPr>
          <w:trHeight w:val="1070"/>
        </w:trPr>
        <w:tc>
          <w:tcPr>
            <w:tcW w:w="1735" w:type="dxa"/>
            <w:shd w:val="clear" w:color="auto" w:fill="FFFFFF"/>
          </w:tcPr>
          <w:p w14:paraId="76E36C35" w14:textId="358005DD" w:rsidR="00EF639C" w:rsidRDefault="00EF639C" w:rsidP="00C2495A">
            <w:pPr>
              <w:pStyle w:val="Normal1"/>
              <w:spacing w:after="120"/>
              <w:rPr>
                <w:b/>
                <w:sz w:val="20"/>
                <w:szCs w:val="20"/>
              </w:rPr>
            </w:pPr>
            <w:r>
              <w:rPr>
                <w:b/>
                <w:sz w:val="20"/>
                <w:szCs w:val="20"/>
              </w:rPr>
              <w:lastRenderedPageBreak/>
              <w:t xml:space="preserve">Conclusion and Resources </w:t>
            </w:r>
          </w:p>
        </w:tc>
        <w:tc>
          <w:tcPr>
            <w:tcW w:w="5829" w:type="dxa"/>
            <w:shd w:val="clear" w:color="auto" w:fill="FFFFFF"/>
          </w:tcPr>
          <w:p w14:paraId="0DBB2B96" w14:textId="52612774" w:rsidR="00EF639C" w:rsidRDefault="00EF639C" w:rsidP="00DF2F27">
            <w:pPr>
              <w:pStyle w:val="Normal1"/>
              <w:spacing w:after="0" w:line="240" w:lineRule="auto"/>
              <w:rPr>
                <w:sz w:val="16"/>
                <w:szCs w:val="16"/>
              </w:rPr>
            </w:pPr>
            <w:r>
              <w:rPr>
                <w:sz w:val="16"/>
                <w:szCs w:val="16"/>
              </w:rPr>
              <w:t xml:space="preserve"> </w:t>
            </w:r>
            <w:r w:rsidR="00DF2F27">
              <w:rPr>
                <w:b/>
                <w:sz w:val="16"/>
                <w:szCs w:val="16"/>
              </w:rPr>
              <w:t xml:space="preserve">Reflection: </w:t>
            </w:r>
            <w:r w:rsidR="00DF2F27">
              <w:rPr>
                <w:sz w:val="16"/>
                <w:szCs w:val="16"/>
              </w:rPr>
              <w:t>In this reflection, use your completed assessment plan as a guide to answer the questions.</w:t>
            </w:r>
          </w:p>
        </w:tc>
        <w:tc>
          <w:tcPr>
            <w:tcW w:w="4719" w:type="dxa"/>
          </w:tcPr>
          <w:p w14:paraId="1D7FC001" w14:textId="77777777" w:rsidR="00EF639C" w:rsidRDefault="00DF2F27" w:rsidP="00C2495A">
            <w:pPr>
              <w:pStyle w:val="Normal1"/>
              <w:spacing w:after="0" w:line="240" w:lineRule="auto"/>
              <w:rPr>
                <w:sz w:val="16"/>
                <w:szCs w:val="16"/>
              </w:rPr>
            </w:pPr>
            <w:r>
              <w:rPr>
                <w:b/>
                <w:sz w:val="16"/>
                <w:szCs w:val="16"/>
              </w:rPr>
              <w:t xml:space="preserve">Summary of Key Points: </w:t>
            </w:r>
            <w:r>
              <w:rPr>
                <w:sz w:val="16"/>
                <w:szCs w:val="16"/>
              </w:rPr>
              <w:t xml:space="preserve">This is a good page to hand out to the students for them to keep. </w:t>
            </w:r>
          </w:p>
          <w:p w14:paraId="12800EBE" w14:textId="77777777" w:rsidR="00DF2F27" w:rsidRDefault="00DF2F27" w:rsidP="00C2495A">
            <w:pPr>
              <w:pStyle w:val="Normal1"/>
              <w:spacing w:after="0" w:line="240" w:lineRule="auto"/>
              <w:rPr>
                <w:sz w:val="16"/>
                <w:szCs w:val="16"/>
              </w:rPr>
            </w:pPr>
          </w:p>
          <w:p w14:paraId="3CCB0736" w14:textId="5C0F1B70" w:rsidR="00DF2F27" w:rsidRPr="00DF2F27" w:rsidRDefault="00DF2F27" w:rsidP="00DF2F27">
            <w:pPr>
              <w:pStyle w:val="Normal1"/>
              <w:spacing w:after="0" w:line="240" w:lineRule="auto"/>
              <w:rPr>
                <w:sz w:val="16"/>
                <w:szCs w:val="16"/>
              </w:rPr>
            </w:pPr>
            <w:r>
              <w:rPr>
                <w:b/>
                <w:sz w:val="16"/>
                <w:szCs w:val="16"/>
              </w:rPr>
              <w:t xml:space="preserve">Reflection: </w:t>
            </w:r>
            <w:r>
              <w:rPr>
                <w:sz w:val="16"/>
                <w:szCs w:val="16"/>
              </w:rPr>
              <w:t xml:space="preserve">In this reflection, the participants will use their completed assessment plan as a guide to answer the questions. </w:t>
            </w:r>
          </w:p>
        </w:tc>
        <w:tc>
          <w:tcPr>
            <w:tcW w:w="1256" w:type="dxa"/>
          </w:tcPr>
          <w:p w14:paraId="53E08599" w14:textId="77777777" w:rsidR="00EF639C" w:rsidRDefault="00EF639C" w:rsidP="00C2495A">
            <w:pPr>
              <w:pStyle w:val="Normal1"/>
              <w:spacing w:after="0" w:line="240" w:lineRule="auto"/>
              <w:ind w:left="360"/>
              <w:rPr>
                <w:sz w:val="20"/>
                <w:szCs w:val="20"/>
              </w:rPr>
            </w:pPr>
          </w:p>
        </w:tc>
      </w:tr>
    </w:tbl>
    <w:p w14:paraId="1ED21C66" w14:textId="48F5A321" w:rsidR="00EF639C" w:rsidRDefault="00EF639C" w:rsidP="00EF639C">
      <w:pPr>
        <w:pStyle w:val="Normal1"/>
        <w:rPr>
          <w:sz w:val="20"/>
          <w:szCs w:val="20"/>
        </w:rPr>
      </w:pPr>
    </w:p>
    <w:p w14:paraId="7D984A9F" w14:textId="77777777" w:rsidR="00EF639C" w:rsidRDefault="00EF639C" w:rsidP="00EF639C">
      <w:pPr>
        <w:pStyle w:val="Normal1"/>
        <w:jc w:val="center"/>
        <w:rPr>
          <w:b/>
          <w:sz w:val="20"/>
          <w:szCs w:val="20"/>
        </w:rPr>
      </w:pPr>
    </w:p>
    <w:p w14:paraId="5673A03C" w14:textId="77777777" w:rsidR="00EF639C" w:rsidRDefault="00EF639C" w:rsidP="00EF639C">
      <w:pPr>
        <w:pStyle w:val="Normal1"/>
        <w:jc w:val="center"/>
        <w:rPr>
          <w:b/>
          <w:sz w:val="20"/>
          <w:szCs w:val="20"/>
        </w:rPr>
      </w:pPr>
      <w:bookmarkStart w:id="1" w:name="_gjdgxs" w:colFirst="0" w:colLast="0"/>
      <w:bookmarkEnd w:id="1"/>
      <w:r>
        <w:rPr>
          <w:b/>
          <w:sz w:val="20"/>
          <w:szCs w:val="20"/>
        </w:rPr>
        <w:t>References:</w:t>
      </w:r>
    </w:p>
    <w:p w14:paraId="520679F1" w14:textId="77777777" w:rsidR="0019131D" w:rsidRPr="0019131D" w:rsidRDefault="0019131D" w:rsidP="0019131D">
      <w:pPr>
        <w:pStyle w:val="Normal1"/>
        <w:numPr>
          <w:ilvl w:val="0"/>
          <w:numId w:val="1"/>
        </w:numPr>
        <w:spacing w:after="0"/>
        <w:ind w:hanging="360"/>
        <w:contextualSpacing/>
      </w:pPr>
      <w:proofErr w:type="spellStart"/>
      <w:r>
        <w:rPr>
          <w:sz w:val="16"/>
          <w:szCs w:val="16"/>
        </w:rPr>
        <w:t>Astin</w:t>
      </w:r>
      <w:proofErr w:type="spellEnd"/>
      <w:r>
        <w:rPr>
          <w:sz w:val="16"/>
          <w:szCs w:val="16"/>
        </w:rPr>
        <w:t xml:space="preserve">, A., &amp; Antonio, A. (2012). </w:t>
      </w:r>
      <w:r>
        <w:rPr>
          <w:i/>
          <w:sz w:val="16"/>
          <w:szCs w:val="16"/>
        </w:rPr>
        <w:t xml:space="preserve"> Assessment for excellence: The philosophy and practice of assessment and evaluation in higher education.</w:t>
      </w:r>
      <w:r w:rsidRPr="0032716F">
        <w:rPr>
          <w:sz w:val="16"/>
          <w:szCs w:val="16"/>
        </w:rPr>
        <w:t xml:space="preserve"> (2</w:t>
      </w:r>
      <w:r w:rsidRPr="0032716F">
        <w:rPr>
          <w:sz w:val="16"/>
          <w:szCs w:val="16"/>
          <w:vertAlign w:val="superscript"/>
        </w:rPr>
        <w:t>nd</w:t>
      </w:r>
      <w:r w:rsidRPr="0032716F">
        <w:rPr>
          <w:sz w:val="16"/>
          <w:szCs w:val="16"/>
        </w:rPr>
        <w:t xml:space="preserve"> ed.). Lanham, MD</w:t>
      </w:r>
      <w:r>
        <w:rPr>
          <w:sz w:val="16"/>
          <w:szCs w:val="16"/>
        </w:rPr>
        <w:t xml:space="preserve">: Rowman and Littlefield. </w:t>
      </w:r>
    </w:p>
    <w:p w14:paraId="044E7C62" w14:textId="5D80F12F" w:rsidR="0019131D" w:rsidRPr="00E34EA0" w:rsidRDefault="0019131D" w:rsidP="0019131D">
      <w:pPr>
        <w:pStyle w:val="Normal1"/>
        <w:numPr>
          <w:ilvl w:val="0"/>
          <w:numId w:val="1"/>
        </w:numPr>
        <w:spacing w:after="0"/>
        <w:ind w:hanging="360"/>
        <w:contextualSpacing/>
      </w:pPr>
      <w:r>
        <w:rPr>
          <w:sz w:val="16"/>
          <w:szCs w:val="16"/>
        </w:rPr>
        <w:t xml:space="preserve">Maki, P.L. (2010). </w:t>
      </w:r>
      <w:r>
        <w:rPr>
          <w:i/>
          <w:sz w:val="16"/>
          <w:szCs w:val="16"/>
        </w:rPr>
        <w:t xml:space="preserve">Assessing for learning: Building a sustainable commitment across the institution. </w:t>
      </w:r>
      <w:r>
        <w:rPr>
          <w:sz w:val="16"/>
          <w:szCs w:val="16"/>
        </w:rPr>
        <w:t>(2</w:t>
      </w:r>
      <w:r>
        <w:rPr>
          <w:sz w:val="16"/>
          <w:szCs w:val="16"/>
          <w:vertAlign w:val="superscript"/>
        </w:rPr>
        <w:t>nd</w:t>
      </w:r>
      <w:r>
        <w:rPr>
          <w:sz w:val="16"/>
          <w:szCs w:val="16"/>
        </w:rPr>
        <w:t xml:space="preserve"> ed.). Sterling, VA: Stylus.</w:t>
      </w:r>
    </w:p>
    <w:p w14:paraId="6C06F598" w14:textId="65914260" w:rsidR="0019131D" w:rsidRPr="00926B3C" w:rsidRDefault="0019131D" w:rsidP="0019131D">
      <w:pPr>
        <w:pStyle w:val="Normal1"/>
        <w:numPr>
          <w:ilvl w:val="0"/>
          <w:numId w:val="1"/>
        </w:numPr>
        <w:spacing w:after="0"/>
        <w:ind w:hanging="360"/>
        <w:contextualSpacing/>
      </w:pPr>
      <w:r>
        <w:rPr>
          <w:sz w:val="16"/>
          <w:szCs w:val="16"/>
        </w:rPr>
        <w:t xml:space="preserve">Suskie, L. (2009). </w:t>
      </w:r>
      <w:r>
        <w:rPr>
          <w:i/>
          <w:sz w:val="16"/>
          <w:szCs w:val="16"/>
        </w:rPr>
        <w:t xml:space="preserve">Assessing for student learning: A common sense guide. </w:t>
      </w:r>
      <w:r>
        <w:rPr>
          <w:sz w:val="16"/>
          <w:szCs w:val="16"/>
        </w:rPr>
        <w:t>(2</w:t>
      </w:r>
      <w:r>
        <w:rPr>
          <w:sz w:val="16"/>
          <w:szCs w:val="16"/>
          <w:vertAlign w:val="superscript"/>
        </w:rPr>
        <w:t>nd</w:t>
      </w:r>
      <w:r>
        <w:rPr>
          <w:sz w:val="16"/>
          <w:szCs w:val="16"/>
        </w:rPr>
        <w:t xml:space="preserve"> ed.). San Francisco: Jossey-Bass </w:t>
      </w:r>
    </w:p>
    <w:p w14:paraId="4C0AF851" w14:textId="4D58886E" w:rsidR="007F0300" w:rsidRDefault="007F0300" w:rsidP="00EF639C"/>
    <w:sectPr w:rsidR="007F0300" w:rsidSect="00EF639C">
      <w:headerReference w:type="even" r:id="rId7"/>
      <w:headerReference w:type="default" r:id="rId8"/>
      <w:footerReference w:type="even" r:id="rId9"/>
      <w:footerReference w:type="default" r:id="rId10"/>
      <w:headerReference w:type="first" r:id="rId11"/>
      <w:footerReference w:type="first" r:id="rId1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A11D2" w14:textId="77777777" w:rsidR="00C66088" w:rsidRDefault="00C66088" w:rsidP="003C225F">
      <w:pPr>
        <w:spacing w:after="0" w:line="240" w:lineRule="auto"/>
      </w:pPr>
      <w:r>
        <w:separator/>
      </w:r>
    </w:p>
  </w:endnote>
  <w:endnote w:type="continuationSeparator" w:id="0">
    <w:p w14:paraId="62B55385" w14:textId="77777777" w:rsidR="00C66088" w:rsidRDefault="00C66088" w:rsidP="003C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C2EB" w14:textId="77777777" w:rsidR="003C225F" w:rsidRDefault="003C2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6A3F" w14:textId="77777777" w:rsidR="003C225F" w:rsidRDefault="003C225F" w:rsidP="003C225F">
    <w:pPr>
      <w:pStyle w:val="Footer"/>
      <w:jc w:val="right"/>
    </w:pPr>
    <w:r>
      <w:rPr>
        <w:noProof/>
      </w:rPr>
      <w:drawing>
        <wp:inline distT="0" distB="0" distL="0" distR="0" wp14:anchorId="4A70CB3A" wp14:editId="64314FD4">
          <wp:extent cx="1119505" cy="393065"/>
          <wp:effectExtent l="0" t="0" r="0" b="0"/>
          <wp:docPr id="2" name="Picture 2" descr="Macintosh HD:Users:victoriawallace:Dropbox (Partners HealthCare):LARC_Learning Assessment Research Consortium:CREATIVE COMMON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ctoriawallace:Dropbox (Partners HealthCare):LARC_Learning Assessment Research Consortium:CREATIVE COMMONS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p w14:paraId="1B3C1EC7" w14:textId="77777777" w:rsidR="003C225F" w:rsidRDefault="003C225F" w:rsidP="003C225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142EA" w14:textId="77777777" w:rsidR="003C225F" w:rsidRDefault="003C2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D03E" w14:textId="77777777" w:rsidR="00C66088" w:rsidRDefault="00C66088" w:rsidP="003C225F">
      <w:pPr>
        <w:spacing w:after="0" w:line="240" w:lineRule="auto"/>
      </w:pPr>
      <w:r>
        <w:separator/>
      </w:r>
    </w:p>
  </w:footnote>
  <w:footnote w:type="continuationSeparator" w:id="0">
    <w:p w14:paraId="2F835D54" w14:textId="77777777" w:rsidR="00C66088" w:rsidRDefault="00C66088" w:rsidP="003C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1D13" w14:textId="77777777" w:rsidR="003C225F" w:rsidRDefault="003C2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C61C" w14:textId="78FEEE29" w:rsidR="003C225F" w:rsidRDefault="003C225F" w:rsidP="003C225F">
    <w:pPr>
      <w:pStyle w:val="Header"/>
      <w:jc w:val="right"/>
    </w:pPr>
    <w:r>
      <w:rPr>
        <w:noProof/>
      </w:rPr>
      <w:drawing>
        <wp:inline distT="0" distB="0" distL="0" distR="0" wp14:anchorId="5910AA41" wp14:editId="379F2ABE">
          <wp:extent cx="2891213" cy="681527"/>
          <wp:effectExtent l="0" t="0" r="4445" b="4445"/>
          <wp:docPr id="1" name="Picture 1" descr="Macintosh HD:Users:victoriawallace:Dropbox (Partners HealthCare):LARC_Learning Assessment Research Consortium:ALL IMAGES:MODULE logos:LARC gatheringdata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gatheringdata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213" cy="6815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CB4BD" w14:textId="77777777" w:rsidR="003C225F" w:rsidRDefault="003C2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A78A5"/>
    <w:multiLevelType w:val="multilevel"/>
    <w:tmpl w:val="3EEC61FC"/>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39C"/>
    <w:rsid w:val="0019131D"/>
    <w:rsid w:val="00352FD8"/>
    <w:rsid w:val="003C225F"/>
    <w:rsid w:val="004D69A6"/>
    <w:rsid w:val="00531254"/>
    <w:rsid w:val="005C5D36"/>
    <w:rsid w:val="006347C9"/>
    <w:rsid w:val="00673BD7"/>
    <w:rsid w:val="006865E9"/>
    <w:rsid w:val="0072136D"/>
    <w:rsid w:val="007F0300"/>
    <w:rsid w:val="009F51C3"/>
    <w:rsid w:val="00A23FA1"/>
    <w:rsid w:val="00B70233"/>
    <w:rsid w:val="00C2495A"/>
    <w:rsid w:val="00C26F80"/>
    <w:rsid w:val="00C66088"/>
    <w:rsid w:val="00DF2F27"/>
    <w:rsid w:val="00ED351E"/>
    <w:rsid w:val="00EF639C"/>
    <w:rsid w:val="00FB4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B5AD6"/>
  <w14:defaultImageDpi w14:val="300"/>
  <w15:docId w15:val="{18E91428-3A6A-4067-8658-BEA422C0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Heading1">
    <w:name w:val="heading 1"/>
    <w:basedOn w:val="Normal1"/>
    <w:next w:val="Normal1"/>
    <w:link w:val="Heading1Char"/>
    <w:rsid w:val="00EF639C"/>
    <w:pPr>
      <w:keepNext/>
      <w:spacing w:before="240" w:after="60"/>
      <w:outlineLvl w:val="0"/>
    </w:pPr>
    <w:rPr>
      <w:b/>
      <w:sz w:val="32"/>
      <w:szCs w:val="32"/>
    </w:rPr>
  </w:style>
  <w:style w:type="paragraph" w:styleId="Heading2">
    <w:name w:val="heading 2"/>
    <w:basedOn w:val="Normal1"/>
    <w:next w:val="Normal1"/>
    <w:link w:val="Heading2Char"/>
    <w:rsid w:val="00EF639C"/>
    <w:pPr>
      <w:keepNext/>
      <w:spacing w:before="240" w:after="60"/>
      <w:outlineLvl w:val="1"/>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39C"/>
    <w:rPr>
      <w:rFonts w:ascii="Calibri" w:eastAsia="Calibri" w:hAnsi="Calibri" w:cs="Calibri"/>
      <w:b/>
      <w:color w:val="000000"/>
      <w:sz w:val="32"/>
      <w:szCs w:val="32"/>
    </w:rPr>
  </w:style>
  <w:style w:type="character" w:customStyle="1" w:styleId="Heading2Char">
    <w:name w:val="Heading 2 Char"/>
    <w:basedOn w:val="DefaultParagraphFont"/>
    <w:link w:val="Heading2"/>
    <w:rsid w:val="00EF639C"/>
    <w:rPr>
      <w:rFonts w:ascii="Calibri" w:eastAsia="Calibri" w:hAnsi="Calibri" w:cs="Calibri"/>
      <w:b/>
      <w:i/>
      <w:color w:val="000000"/>
      <w:sz w:val="28"/>
      <w:szCs w:val="28"/>
    </w:rPr>
  </w:style>
  <w:style w:type="paragraph" w:customStyle="1" w:styleId="Normal1">
    <w:name w:val="Normal1"/>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EF63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39C"/>
    <w:rPr>
      <w:rFonts w:ascii="Lucida Grande" w:eastAsia="Calibri" w:hAnsi="Lucida Grande" w:cs="Lucida Grande"/>
      <w:color w:val="000000"/>
      <w:sz w:val="18"/>
      <w:szCs w:val="18"/>
    </w:rPr>
  </w:style>
  <w:style w:type="paragraph" w:styleId="Header">
    <w:name w:val="header"/>
    <w:basedOn w:val="Normal"/>
    <w:link w:val="HeaderChar"/>
    <w:uiPriority w:val="99"/>
    <w:unhideWhenUsed/>
    <w:rsid w:val="003C22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225F"/>
    <w:rPr>
      <w:rFonts w:ascii="Calibri" w:eastAsia="Calibri" w:hAnsi="Calibri" w:cs="Calibri"/>
      <w:color w:val="000000"/>
      <w:sz w:val="22"/>
      <w:szCs w:val="22"/>
    </w:rPr>
  </w:style>
  <w:style w:type="paragraph" w:styleId="Footer">
    <w:name w:val="footer"/>
    <w:basedOn w:val="Normal"/>
    <w:link w:val="FooterChar"/>
    <w:uiPriority w:val="99"/>
    <w:unhideWhenUsed/>
    <w:rsid w:val="003C22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225F"/>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Lancaster</dc:creator>
  <cp:keywords/>
  <dc:description/>
  <cp:lastModifiedBy>Jankowski, Natasha A</cp:lastModifiedBy>
  <cp:revision>2</cp:revision>
  <dcterms:created xsi:type="dcterms:W3CDTF">2019-10-09T18:03:00Z</dcterms:created>
  <dcterms:modified xsi:type="dcterms:W3CDTF">2019-10-09T18:03:00Z</dcterms:modified>
</cp:coreProperties>
</file>